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99" w:leftChars="0" w:hanging="1699" w:hangingChars="529"/>
        <w:jc w:val="both"/>
        <w:rPr>
          <w:rFonts w:hint="eastAsia" w:hAnsi="宋体"/>
          <w:b/>
          <w:bCs/>
          <w:sz w:val="40"/>
          <w:szCs w:val="40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lang w:val="en-US" w:eastAsia="zh-CN"/>
        </w:rPr>
        <w:t>龚滩景区配套基础设施建设项目-峡谷乐园及旅游道路    建设工程发展规划及概念方案补遗通知</w:t>
      </w:r>
    </w:p>
    <w:p>
      <w:pPr>
        <w:rPr>
          <w:rFonts w:hint="eastAsia" w:hAnsi="宋体"/>
          <w:b/>
          <w:bCs/>
          <w:sz w:val="40"/>
          <w:szCs w:val="4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各位潜在供应商：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龚滩景区配套基础设施建设项目-峡谷乐园及旅游道路建设工程发展规划及概念方案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采购项目特定资质条件新增加一条：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城乡规划编制乙级及以上资质。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满足两条特定资质中的任意一条即可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ind w:left="5032" w:leftChars="1463" w:hanging="1960" w:hangingChars="7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采购人：重庆市山水画廊旅游开发有限公司2017年11月15日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hAnsi="宋体"/>
          <w:b/>
          <w:bCs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文鼎粗黑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ont-weight : 400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itka Text">
    <w:altName w:val="Shruti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AmdtSymbols">
    <w:altName w:val="Shruti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_x000B__x000C_">
    <w:altName w:val="仿宋_GB2312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JhengHei U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Calibri Light">
    <w:altName w:val="Latha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C0408"/>
    <w:rsid w:val="3D3C0408"/>
    <w:rsid w:val="4AB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2017-11-15T01:27:00Z</dcterms:created>
  <dc:creator>FREADY6</dc:creator>
  <cp:lastModifiedBy>Administrator</cp:lastModifiedBy>
  <dcterms:modified xsi:type="dcterms:W3CDTF">2017-11-15T05:48:11Z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